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A0CA" w14:textId="541D6C89" w:rsidR="00AC5EA6" w:rsidRDefault="004C2BFC" w:rsidP="00AC5EA6">
      <w:pPr>
        <w:tabs>
          <w:tab w:val="left" w:pos="0"/>
        </w:tabs>
        <w:spacing w:after="0" w:line="240" w:lineRule="auto"/>
        <w:rPr>
          <w:rFonts w:ascii="Arial" w:eastAsiaTheme="minorEastAsia" w:hAnsi="Arial" w:cs="Arial"/>
          <w:b/>
          <w:bCs/>
          <w:u w:val="single"/>
        </w:rPr>
      </w:pPr>
      <w:r w:rsidRPr="004F6A98">
        <w:rPr>
          <w:rFonts w:ascii="Arial" w:eastAsiaTheme="minorEastAsia" w:hAnsi="Arial" w:cs="Arial"/>
          <w:b/>
          <w:bCs/>
          <w:u w:val="single"/>
        </w:rPr>
        <w:t>Clinical Thresholds</w:t>
      </w:r>
      <w:bookmarkStart w:id="0" w:name="NRTT"/>
      <w:bookmarkEnd w:id="0"/>
      <w:r w:rsidR="004F6A98" w:rsidRPr="004F6A98">
        <w:rPr>
          <w:rFonts w:ascii="Arial" w:eastAsiaTheme="minorEastAsia" w:hAnsi="Arial" w:cs="Arial"/>
          <w:b/>
          <w:bCs/>
          <w:u w:val="single"/>
        </w:rPr>
        <w:t xml:space="preserve"> Policies Supporting Information</w:t>
      </w:r>
      <w:bookmarkStart w:id="1" w:name="_Toc487536621"/>
    </w:p>
    <w:p w14:paraId="19FD47A9" w14:textId="77777777" w:rsidR="00AC5EA6" w:rsidRDefault="00AC5EA6" w:rsidP="00AC5EA6">
      <w:pPr>
        <w:tabs>
          <w:tab w:val="left" w:pos="0"/>
        </w:tabs>
        <w:spacing w:after="0" w:line="240" w:lineRule="auto"/>
        <w:rPr>
          <w:rFonts w:ascii="Arial" w:eastAsiaTheme="minorEastAsia" w:hAnsi="Arial" w:cs="Arial"/>
          <w:b/>
          <w:bCs/>
          <w:u w:val="single"/>
        </w:rPr>
      </w:pPr>
    </w:p>
    <w:p w14:paraId="4F0819AF" w14:textId="2DFB3A6E" w:rsidR="004C2BFC" w:rsidRPr="004C2BFC" w:rsidRDefault="004C2BFC" w:rsidP="00AC5EA6">
      <w:pPr>
        <w:tabs>
          <w:tab w:val="left" w:pos="0"/>
        </w:tabs>
        <w:spacing w:after="0" w:line="240" w:lineRule="auto"/>
        <w:rPr>
          <w:rFonts w:ascii="Arial" w:eastAsiaTheme="majorEastAsia" w:hAnsi="Arial" w:cs="Arial"/>
          <w:b/>
        </w:rPr>
      </w:pPr>
      <w:r w:rsidRPr="004C2BFC">
        <w:rPr>
          <w:rFonts w:ascii="Arial" w:eastAsiaTheme="majorEastAsia" w:hAnsi="Arial" w:cs="Arial"/>
          <w:b/>
        </w:rPr>
        <w:t>Introduction</w:t>
      </w:r>
      <w:bookmarkEnd w:id="1"/>
    </w:p>
    <w:p w14:paraId="04CE298B" w14:textId="77777777" w:rsidR="004C2BFC" w:rsidRPr="004C2BFC" w:rsidRDefault="004C2BFC" w:rsidP="004C2BFC">
      <w:pPr>
        <w:spacing w:after="0" w:line="240" w:lineRule="auto"/>
        <w:ind w:left="360"/>
        <w:rPr>
          <w:rFonts w:ascii="Arial" w:eastAsiaTheme="minorEastAsia" w:hAnsi="Arial" w:cs="Arial"/>
          <w:bCs/>
        </w:rPr>
      </w:pPr>
    </w:p>
    <w:p w14:paraId="741C5A3D" w14:textId="78938EBB" w:rsidR="004C2BFC" w:rsidRPr="004C2BFC" w:rsidRDefault="004C2BFC" w:rsidP="004C2BFC">
      <w:pPr>
        <w:spacing w:after="0" w:line="240" w:lineRule="auto"/>
        <w:jc w:val="both"/>
        <w:rPr>
          <w:rFonts w:ascii="Arial" w:eastAsiaTheme="minorEastAsia" w:hAnsi="Arial" w:cs="Arial"/>
          <w:bCs/>
        </w:rPr>
      </w:pPr>
      <w:r w:rsidRPr="004C2BFC">
        <w:rPr>
          <w:rFonts w:ascii="Arial" w:eastAsiaTheme="minorEastAsia" w:hAnsi="Arial" w:cs="Arial"/>
          <w:bCs/>
        </w:rPr>
        <w:t>To ensure finite resources are managed to provide the population with as wide a range of healthcare interventions NHS N</w:t>
      </w:r>
      <w:r w:rsidR="00C56B23">
        <w:rPr>
          <w:rFonts w:ascii="Arial" w:eastAsiaTheme="minorEastAsia" w:hAnsi="Arial" w:cs="Arial"/>
          <w:bCs/>
        </w:rPr>
        <w:t>orfolk &amp; Waveney Integrated Care Board</w:t>
      </w:r>
      <w:r w:rsidR="00B22973">
        <w:rPr>
          <w:rFonts w:ascii="Arial" w:eastAsiaTheme="minorEastAsia" w:hAnsi="Arial" w:cs="Arial"/>
          <w:bCs/>
        </w:rPr>
        <w:t xml:space="preserve"> </w:t>
      </w:r>
      <w:r w:rsidR="007B3A89">
        <w:rPr>
          <w:rFonts w:ascii="Arial" w:eastAsiaTheme="minorEastAsia" w:hAnsi="Arial" w:cs="Arial"/>
          <w:bCs/>
        </w:rPr>
        <w:t>(N&amp;W ICB</w:t>
      </w:r>
      <w:r w:rsidRPr="004C2BFC">
        <w:rPr>
          <w:rFonts w:ascii="Arial" w:eastAsiaTheme="minorEastAsia" w:hAnsi="Arial" w:cs="Arial"/>
          <w:bCs/>
        </w:rPr>
        <w:t>) prioritise resource allocation based on evidence of the clinical effectiveness and safety of treatments, their cost effectiveness and affordability, and on which interventions provide the best health outcomes.</w:t>
      </w:r>
    </w:p>
    <w:p w14:paraId="7EBEBE75" w14:textId="77777777" w:rsidR="004C2BFC" w:rsidRPr="004C2BFC" w:rsidRDefault="004C2BFC" w:rsidP="004C2BFC">
      <w:pPr>
        <w:spacing w:after="0" w:line="240" w:lineRule="auto"/>
        <w:rPr>
          <w:rFonts w:ascii="Arial" w:eastAsiaTheme="minorEastAsia" w:hAnsi="Arial" w:cs="Arial"/>
          <w:bCs/>
        </w:rPr>
      </w:pPr>
    </w:p>
    <w:p w14:paraId="769D88B5" w14:textId="6F5BDF4F" w:rsidR="004C2BFC" w:rsidRDefault="004C2BFC" w:rsidP="004C2BFC">
      <w:pPr>
        <w:shd w:val="clear" w:color="auto" w:fill="FFFFFF" w:themeFill="background1"/>
        <w:spacing w:after="0" w:line="240" w:lineRule="auto"/>
        <w:jc w:val="both"/>
        <w:rPr>
          <w:rFonts w:ascii="Arial" w:eastAsiaTheme="minorEastAsia" w:hAnsi="Arial" w:cs="Arial"/>
          <w:bCs/>
        </w:rPr>
      </w:pPr>
      <w:r w:rsidRPr="004C2BFC">
        <w:rPr>
          <w:rFonts w:ascii="Arial" w:eastAsiaTheme="minorEastAsia" w:hAnsi="Arial" w:cs="Arial"/>
          <w:bCs/>
        </w:rPr>
        <w:t xml:space="preserve">Historically, the NHS Norfolk </w:t>
      </w:r>
      <w:r w:rsidR="007B3A89">
        <w:rPr>
          <w:rFonts w:ascii="Arial" w:eastAsiaTheme="minorEastAsia" w:hAnsi="Arial" w:cs="Arial"/>
          <w:bCs/>
        </w:rPr>
        <w:t>&amp; Waveney CCG</w:t>
      </w:r>
      <w:r w:rsidRPr="004C2BFC">
        <w:rPr>
          <w:rFonts w:ascii="Arial" w:eastAsiaTheme="minorEastAsia" w:hAnsi="Arial" w:cs="Arial"/>
          <w:bCs/>
        </w:rPr>
        <w:t xml:space="preserve"> approved a policy for low priorities and procedures for funding along with </w:t>
      </w:r>
      <w:proofErr w:type="gramStart"/>
      <w:r w:rsidRPr="004C2BFC">
        <w:rPr>
          <w:rFonts w:ascii="Arial" w:eastAsiaTheme="minorEastAsia" w:hAnsi="Arial" w:cs="Arial"/>
          <w:bCs/>
        </w:rPr>
        <w:t>a number of</w:t>
      </w:r>
      <w:proofErr w:type="gramEnd"/>
      <w:r w:rsidRPr="004C2BFC">
        <w:rPr>
          <w:rFonts w:ascii="Arial" w:eastAsiaTheme="minorEastAsia" w:hAnsi="Arial" w:cs="Arial"/>
          <w:bCs/>
        </w:rPr>
        <w:t xml:space="preserve"> treatment thresholds which were included within the Non-routine Treatments and Treatment Thresholds Policy - now known as the Clinical Thresholds Policy (please refer to Appendix 2 for version history). The Clinical Thresholds Policy has previously included all policy statements (those with threshold criteria and those requiring individual approval via an Individual Funding Request) ratified by the NHS Norfolk &amp; Waveney CCGs. From August 2017, the individual policy statements have been separated from the main policy document and have been allocated an individual policy reference. </w:t>
      </w:r>
      <w:proofErr w:type="gramStart"/>
      <w:r w:rsidRPr="004C2BFC">
        <w:rPr>
          <w:rFonts w:ascii="Arial" w:eastAsiaTheme="minorEastAsia" w:hAnsi="Arial" w:cs="Arial"/>
          <w:bCs/>
        </w:rPr>
        <w:t>As a consequence</w:t>
      </w:r>
      <w:proofErr w:type="gramEnd"/>
      <w:r w:rsidRPr="004C2BFC">
        <w:rPr>
          <w:rFonts w:ascii="Arial" w:eastAsiaTheme="minorEastAsia" w:hAnsi="Arial" w:cs="Arial"/>
          <w:bCs/>
        </w:rPr>
        <w:t>, new policies and variations to existing policies can be rolled out to providers swiftly and implemented more rapidly.</w:t>
      </w:r>
    </w:p>
    <w:p w14:paraId="3292CC0B" w14:textId="7A8282CE" w:rsidR="00A9013F" w:rsidRPr="004C2BFC" w:rsidRDefault="00A9013F" w:rsidP="004C2BFC">
      <w:pPr>
        <w:shd w:val="clear" w:color="auto" w:fill="FFFFFF" w:themeFill="background1"/>
        <w:spacing w:after="0" w:line="240" w:lineRule="auto"/>
        <w:jc w:val="both"/>
        <w:rPr>
          <w:rFonts w:ascii="Arial" w:eastAsiaTheme="minorEastAsia" w:hAnsi="Arial" w:cs="Arial"/>
          <w:bCs/>
        </w:rPr>
      </w:pPr>
      <w:r>
        <w:rPr>
          <w:rFonts w:ascii="Arial" w:eastAsiaTheme="minorEastAsia" w:hAnsi="Arial" w:cs="Arial"/>
          <w:bCs/>
        </w:rPr>
        <w:t>From July 1</w:t>
      </w:r>
      <w:r w:rsidRPr="00A9013F">
        <w:rPr>
          <w:rFonts w:ascii="Arial" w:eastAsiaTheme="minorEastAsia" w:hAnsi="Arial" w:cs="Arial"/>
          <w:bCs/>
          <w:vertAlign w:val="superscript"/>
        </w:rPr>
        <w:t>st</w:t>
      </w:r>
      <w:r w:rsidR="00B22973">
        <w:rPr>
          <w:rFonts w:ascii="Arial" w:eastAsiaTheme="minorEastAsia" w:hAnsi="Arial" w:cs="Arial"/>
          <w:bCs/>
        </w:rPr>
        <w:t>, 2022,</w:t>
      </w:r>
      <w:r>
        <w:rPr>
          <w:rFonts w:ascii="Arial" w:eastAsiaTheme="minorEastAsia" w:hAnsi="Arial" w:cs="Arial"/>
          <w:bCs/>
        </w:rPr>
        <w:t xml:space="preserve"> Clinical Threshold Policies will be ratified by Norfolk and Waveney Integrated Care Board.</w:t>
      </w:r>
    </w:p>
    <w:p w14:paraId="149291DA" w14:textId="77777777" w:rsidR="004C2BFC" w:rsidRDefault="004C2BFC" w:rsidP="004C2BFC">
      <w:pPr>
        <w:spacing w:after="0" w:line="240" w:lineRule="auto"/>
        <w:rPr>
          <w:rFonts w:ascii="Arial" w:eastAsiaTheme="minorEastAsia" w:hAnsi="Arial" w:cs="Arial"/>
          <w:bCs/>
        </w:rPr>
      </w:pPr>
    </w:p>
    <w:p w14:paraId="405DA6AD" w14:textId="77777777" w:rsidR="004C2BFC" w:rsidRPr="004C2BFC" w:rsidRDefault="004C2BFC" w:rsidP="004C2BFC">
      <w:pPr>
        <w:keepNext/>
        <w:keepLines/>
        <w:numPr>
          <w:ilvl w:val="0"/>
          <w:numId w:val="1"/>
        </w:numPr>
        <w:tabs>
          <w:tab w:val="clear" w:pos="360"/>
          <w:tab w:val="num" w:pos="284"/>
        </w:tabs>
        <w:spacing w:before="120" w:after="40" w:line="240" w:lineRule="auto"/>
        <w:ind w:left="357" w:hanging="357"/>
        <w:outlineLvl w:val="0"/>
        <w:rPr>
          <w:rFonts w:ascii="Arial" w:eastAsiaTheme="majorEastAsia" w:hAnsi="Arial" w:cs="Arial"/>
          <w:b/>
        </w:rPr>
      </w:pPr>
      <w:bookmarkStart w:id="2" w:name="_Toc487536622"/>
      <w:r w:rsidRPr="004C2BFC">
        <w:rPr>
          <w:rFonts w:ascii="Arial" w:eastAsiaTheme="majorEastAsia" w:hAnsi="Arial" w:cs="Arial"/>
          <w:b/>
        </w:rPr>
        <w:t>Policy</w:t>
      </w:r>
      <w:bookmarkEnd w:id="2"/>
    </w:p>
    <w:p w14:paraId="63D0100A" w14:textId="77777777" w:rsidR="004C2BFC" w:rsidRPr="004C2BFC" w:rsidRDefault="004C2BFC" w:rsidP="004C2BFC">
      <w:pPr>
        <w:keepNext/>
        <w:keepLines/>
        <w:spacing w:before="240" w:after="40" w:line="240" w:lineRule="auto"/>
        <w:outlineLvl w:val="0"/>
        <w:rPr>
          <w:rFonts w:ascii="Arial" w:eastAsiaTheme="majorEastAsia" w:hAnsi="Arial" w:cs="Arial"/>
          <w:b/>
          <w:color w:val="1F4E79" w:themeColor="accent1" w:themeShade="80"/>
        </w:rPr>
      </w:pPr>
      <w:bookmarkStart w:id="3" w:name="_Toc487536623"/>
      <w:r w:rsidRPr="004C2BFC">
        <w:rPr>
          <w:rFonts w:ascii="Arial" w:eastAsiaTheme="majorEastAsia" w:hAnsi="Arial" w:cs="Arial"/>
          <w:b/>
        </w:rPr>
        <w:t>2.1 Non-routine procedures and therapies / Individual Funding Request (IFR) Panel</w:t>
      </w:r>
      <w:bookmarkEnd w:id="3"/>
    </w:p>
    <w:p w14:paraId="40043DA1" w14:textId="77777777" w:rsidR="004C2BFC" w:rsidRPr="004C2BFC" w:rsidRDefault="004C2BFC" w:rsidP="004C2BFC">
      <w:pPr>
        <w:spacing w:after="0" w:line="240" w:lineRule="auto"/>
        <w:rPr>
          <w:rFonts w:ascii="Arial" w:eastAsiaTheme="minorEastAsia" w:hAnsi="Arial" w:cs="Arial"/>
          <w:bCs/>
        </w:rPr>
      </w:pPr>
    </w:p>
    <w:p w14:paraId="7DBD15D6" w14:textId="77777777" w:rsidR="004C2BFC" w:rsidRPr="004C2BFC" w:rsidRDefault="004C2BFC" w:rsidP="004C2BFC">
      <w:pPr>
        <w:spacing w:after="0" w:line="240" w:lineRule="auto"/>
        <w:jc w:val="both"/>
        <w:rPr>
          <w:rFonts w:ascii="Arial" w:eastAsiaTheme="minorEastAsia" w:hAnsi="Arial" w:cs="Arial"/>
          <w:bCs/>
        </w:rPr>
      </w:pPr>
      <w:r w:rsidRPr="004C2BFC">
        <w:rPr>
          <w:rFonts w:ascii="Arial" w:eastAsiaTheme="minorEastAsia" w:hAnsi="Arial" w:cs="Arial"/>
        </w:rPr>
        <w:t xml:space="preserve">Non-routine procedures and therapies will not normally be funded unless the circumstances of the individual patient </w:t>
      </w:r>
      <w:proofErr w:type="gramStart"/>
      <w:r w:rsidRPr="004C2BFC">
        <w:rPr>
          <w:rFonts w:ascii="Arial" w:eastAsiaTheme="minorEastAsia" w:hAnsi="Arial" w:cs="Arial"/>
        </w:rPr>
        <w:t>are considered to be</w:t>
      </w:r>
      <w:proofErr w:type="gramEnd"/>
      <w:r w:rsidRPr="004C2BFC">
        <w:rPr>
          <w:rFonts w:ascii="Arial" w:eastAsiaTheme="minorEastAsia" w:hAnsi="Arial" w:cs="Arial"/>
        </w:rPr>
        <w:t xml:space="preserve"> exceptional by the Individual Funding Request Panel. This includes all treatments which are listed as </w:t>
      </w:r>
      <w:r w:rsidRPr="004C2BFC">
        <w:rPr>
          <w:rFonts w:ascii="Arial" w:eastAsiaTheme="minorEastAsia" w:hAnsi="Arial" w:cs="Arial"/>
          <w:i/>
          <w:iCs/>
        </w:rPr>
        <w:t>not routinely funded</w:t>
      </w:r>
      <w:r w:rsidRPr="004C2BFC">
        <w:rPr>
          <w:rFonts w:ascii="Arial" w:eastAsiaTheme="minorEastAsia" w:hAnsi="Arial" w:cs="Arial"/>
        </w:rPr>
        <w:t xml:space="preserve"> which should be referred to the IFR panel for consideration. An IFR form must be completed for every referral and should contain detail demonstrating exceptionality in support of the application for funding.  Application forms can be found on the Knowledge Anglia website. </w:t>
      </w:r>
      <w:r w:rsidRPr="004C2BFC">
        <w:rPr>
          <w:rFonts w:ascii="Arial" w:eastAsiaTheme="minorEastAsia" w:hAnsi="Arial" w:cs="Arial"/>
          <w:bCs/>
        </w:rPr>
        <w:t xml:space="preserve">Request forms will be returned to providers if the correct data is not supplied. </w:t>
      </w:r>
    </w:p>
    <w:p w14:paraId="59FBB677" w14:textId="77777777" w:rsidR="004C2BFC" w:rsidRPr="004C2BFC" w:rsidRDefault="004C2BFC" w:rsidP="004C2BFC">
      <w:pPr>
        <w:spacing w:after="0" w:line="240" w:lineRule="auto"/>
        <w:jc w:val="both"/>
        <w:rPr>
          <w:rFonts w:ascii="Arial" w:eastAsiaTheme="minorEastAsia" w:hAnsi="Arial" w:cs="Arial"/>
          <w:bCs/>
        </w:rPr>
      </w:pPr>
    </w:p>
    <w:p w14:paraId="2893D9A9" w14:textId="77777777" w:rsidR="004C2BFC" w:rsidRPr="004C2BFC" w:rsidRDefault="004C2BFC" w:rsidP="004C2BFC">
      <w:pPr>
        <w:spacing w:after="0" w:line="240" w:lineRule="auto"/>
        <w:jc w:val="both"/>
        <w:rPr>
          <w:rFonts w:ascii="Arial" w:eastAsiaTheme="minorEastAsia" w:hAnsi="Arial" w:cs="Arial"/>
        </w:rPr>
      </w:pPr>
      <w:r w:rsidRPr="004C2BFC">
        <w:rPr>
          <w:rFonts w:ascii="Arial" w:eastAsiaTheme="minorEastAsia" w:hAnsi="Arial" w:cs="Arial"/>
        </w:rPr>
        <w:t>The IFR Panel meet once a month to consider applications. Where all relevant clinical information is provided, applications will be discussed at the next available panel meeting. Where further information is awaited in order to progress an application, the application will remain on hold until the required information is submitted. The application will then be taken to the next available panel meeting for discussion.</w:t>
      </w:r>
    </w:p>
    <w:p w14:paraId="4B11E77C" w14:textId="77777777" w:rsidR="004C2BFC" w:rsidRDefault="004C2BFC" w:rsidP="004C2BFC">
      <w:pPr>
        <w:spacing w:after="0" w:line="240" w:lineRule="auto"/>
        <w:rPr>
          <w:rFonts w:ascii="Arial" w:eastAsiaTheme="minorEastAsia" w:hAnsi="Arial" w:cs="Arial"/>
          <w:bCs/>
        </w:rPr>
      </w:pPr>
    </w:p>
    <w:p w14:paraId="08EA57A4" w14:textId="77777777" w:rsidR="004C2BFC" w:rsidRPr="004C2BFC" w:rsidRDefault="004C2BFC" w:rsidP="004C2BFC">
      <w:pPr>
        <w:keepNext/>
        <w:keepLines/>
        <w:spacing w:before="120" w:after="40" w:line="240" w:lineRule="auto"/>
        <w:outlineLvl w:val="0"/>
        <w:rPr>
          <w:rFonts w:ascii="Arial" w:eastAsiaTheme="majorEastAsia" w:hAnsi="Arial" w:cs="Arial"/>
          <w:b/>
        </w:rPr>
      </w:pPr>
      <w:bookmarkStart w:id="4" w:name="_Toc487536624"/>
      <w:r w:rsidRPr="004C2BFC">
        <w:rPr>
          <w:rFonts w:ascii="Arial" w:eastAsiaTheme="majorEastAsia" w:hAnsi="Arial" w:cs="Arial"/>
          <w:b/>
        </w:rPr>
        <w:t>2.2 Procedures and therapies where thresholds apply</w:t>
      </w:r>
      <w:bookmarkEnd w:id="4"/>
    </w:p>
    <w:p w14:paraId="2130EF05" w14:textId="77777777" w:rsidR="004C2BFC" w:rsidRPr="004C2BFC" w:rsidRDefault="004C2BFC" w:rsidP="004C2BFC">
      <w:pPr>
        <w:tabs>
          <w:tab w:val="left" w:pos="540"/>
        </w:tabs>
        <w:spacing w:after="0" w:line="240" w:lineRule="auto"/>
        <w:rPr>
          <w:rFonts w:ascii="Arial" w:eastAsiaTheme="minorEastAsia" w:hAnsi="Arial" w:cs="Arial"/>
          <w:bCs/>
        </w:rPr>
      </w:pPr>
    </w:p>
    <w:p w14:paraId="6D4E4E62" w14:textId="47AF6090" w:rsidR="004C2BFC" w:rsidRPr="004C2BFC" w:rsidRDefault="004C2BFC" w:rsidP="004C2BFC">
      <w:pPr>
        <w:spacing w:after="0" w:line="240" w:lineRule="auto"/>
        <w:jc w:val="both"/>
        <w:rPr>
          <w:rFonts w:ascii="Arial" w:eastAsiaTheme="minorEastAsia" w:hAnsi="Arial" w:cs="Arial"/>
        </w:rPr>
      </w:pPr>
      <w:r w:rsidRPr="004C2BFC">
        <w:rPr>
          <w:rFonts w:ascii="Arial" w:eastAsiaTheme="minorEastAsia" w:hAnsi="Arial" w:cs="Arial"/>
          <w:bCs/>
        </w:rPr>
        <w:t>Threshold procedures and therapies are those in which a clinical threshold has been set which needs to be exceeded before funding will be made available for treatment.</w:t>
      </w:r>
    </w:p>
    <w:p w14:paraId="7021EEF3" w14:textId="77777777" w:rsidR="004C2BFC" w:rsidRPr="004C2BFC" w:rsidRDefault="004C2BFC" w:rsidP="004C2BFC">
      <w:pPr>
        <w:spacing w:after="0" w:line="240" w:lineRule="auto"/>
        <w:jc w:val="both"/>
        <w:rPr>
          <w:rFonts w:ascii="Arial" w:eastAsiaTheme="minorEastAsia" w:hAnsi="Arial" w:cs="Arial"/>
        </w:rPr>
      </w:pPr>
    </w:p>
    <w:p w14:paraId="60D8C91A" w14:textId="1EDE0D42" w:rsidR="004C2BFC" w:rsidRPr="004C2BFC" w:rsidRDefault="004C2BFC" w:rsidP="004C2BFC">
      <w:pPr>
        <w:spacing w:after="0" w:line="240" w:lineRule="auto"/>
        <w:jc w:val="both"/>
        <w:rPr>
          <w:rFonts w:ascii="Arial" w:eastAsiaTheme="minorEastAsia" w:hAnsi="Arial" w:cs="Arial"/>
          <w:bCs/>
        </w:rPr>
      </w:pPr>
      <w:r w:rsidRPr="004C2BFC">
        <w:rPr>
          <w:rFonts w:ascii="Arial" w:eastAsiaTheme="minorEastAsia" w:hAnsi="Arial" w:cs="Arial"/>
        </w:rPr>
        <w:t xml:space="preserve">Where the threshold criteria for a procedure or treatment </w:t>
      </w:r>
      <w:proofErr w:type="gramStart"/>
      <w:r w:rsidRPr="004C2BFC">
        <w:rPr>
          <w:rFonts w:ascii="Arial" w:eastAsiaTheme="minorEastAsia" w:hAnsi="Arial" w:cs="Arial"/>
        </w:rPr>
        <w:t>has</w:t>
      </w:r>
      <w:proofErr w:type="gramEnd"/>
      <w:r w:rsidRPr="004C2BFC">
        <w:rPr>
          <w:rFonts w:ascii="Arial" w:eastAsiaTheme="minorEastAsia" w:hAnsi="Arial" w:cs="Arial"/>
        </w:rPr>
        <w:t xml:space="preserve"> not been met, an application can be made to the Individual Funding Request Panel if there are clinically exceptional circumstances.</w:t>
      </w:r>
    </w:p>
    <w:p w14:paraId="77A7C8C7" w14:textId="77777777" w:rsidR="004C2BFC" w:rsidRPr="004C2BFC" w:rsidRDefault="004C2BFC" w:rsidP="004C2BFC">
      <w:pPr>
        <w:spacing w:after="0" w:line="240" w:lineRule="auto"/>
        <w:jc w:val="both"/>
        <w:rPr>
          <w:rFonts w:ascii="Arial" w:eastAsiaTheme="minorEastAsia" w:hAnsi="Arial" w:cs="Arial"/>
          <w:bCs/>
        </w:rPr>
      </w:pPr>
    </w:p>
    <w:p w14:paraId="7ACE6E6E" w14:textId="77777777" w:rsidR="004C2BFC" w:rsidRPr="004C2BFC" w:rsidRDefault="004C2BFC" w:rsidP="004C2BFC">
      <w:pPr>
        <w:spacing w:after="0" w:line="240" w:lineRule="auto"/>
        <w:jc w:val="both"/>
        <w:rPr>
          <w:rFonts w:ascii="Arial" w:eastAsiaTheme="minorEastAsia" w:hAnsi="Arial" w:cs="Arial"/>
          <w:bCs/>
        </w:rPr>
      </w:pPr>
      <w:r w:rsidRPr="004C2BFC">
        <w:rPr>
          <w:rFonts w:ascii="Arial" w:eastAsiaTheme="minorEastAsia" w:hAnsi="Arial" w:cs="Arial"/>
          <w:bCs/>
        </w:rPr>
        <w:t>Please refer to Appendix 1 for a list of the IFR and Threshold procedures with the relevant procedure codes.</w:t>
      </w:r>
    </w:p>
    <w:p w14:paraId="645D4DE7" w14:textId="77777777" w:rsidR="002A153B" w:rsidRDefault="002A153B" w:rsidP="004C2BFC">
      <w:pPr>
        <w:keepNext/>
        <w:keepLines/>
        <w:spacing w:before="120" w:after="40" w:line="240" w:lineRule="auto"/>
        <w:outlineLvl w:val="0"/>
        <w:rPr>
          <w:rFonts w:ascii="Arial" w:eastAsiaTheme="majorEastAsia" w:hAnsi="Arial" w:cs="Arial"/>
          <w:b/>
        </w:rPr>
      </w:pPr>
      <w:bookmarkStart w:id="5" w:name="_Toc487536625"/>
    </w:p>
    <w:p w14:paraId="37E0A502" w14:textId="5F874B36" w:rsidR="004C2BFC" w:rsidRPr="004C2BFC" w:rsidRDefault="004C2BFC" w:rsidP="004C2BFC">
      <w:pPr>
        <w:keepNext/>
        <w:keepLines/>
        <w:spacing w:before="120" w:after="40" w:line="240" w:lineRule="auto"/>
        <w:outlineLvl w:val="0"/>
        <w:rPr>
          <w:rFonts w:ascii="Arial" w:eastAsiaTheme="majorEastAsia" w:hAnsi="Arial" w:cs="Arial"/>
          <w:b/>
          <w:color w:val="1F4E79" w:themeColor="accent1" w:themeShade="80"/>
        </w:rPr>
      </w:pPr>
      <w:r w:rsidRPr="004C2BFC">
        <w:rPr>
          <w:rFonts w:ascii="Arial" w:eastAsiaTheme="majorEastAsia" w:hAnsi="Arial" w:cs="Arial"/>
          <w:b/>
        </w:rPr>
        <w:t xml:space="preserve">2.3 New and novel treatments (procedures and therapies) developed in </w:t>
      </w:r>
      <w:proofErr w:type="gramStart"/>
      <w:r w:rsidRPr="004C2BFC">
        <w:rPr>
          <w:rFonts w:ascii="Arial" w:eastAsiaTheme="majorEastAsia" w:hAnsi="Arial" w:cs="Arial"/>
          <w:b/>
        </w:rPr>
        <w:t>year</w:t>
      </w:r>
      <w:bookmarkEnd w:id="5"/>
      <w:proofErr w:type="gramEnd"/>
    </w:p>
    <w:p w14:paraId="37470145" w14:textId="36701F1E" w:rsidR="004C2BFC" w:rsidRPr="004C2BFC" w:rsidRDefault="004C2BFC" w:rsidP="004C2BFC">
      <w:pPr>
        <w:tabs>
          <w:tab w:val="left" w:pos="540"/>
        </w:tabs>
        <w:spacing w:after="0" w:line="240" w:lineRule="auto"/>
        <w:jc w:val="both"/>
        <w:rPr>
          <w:rFonts w:ascii="Arial" w:eastAsiaTheme="minorEastAsia" w:hAnsi="Arial" w:cs="Arial"/>
          <w:bCs/>
        </w:rPr>
      </w:pPr>
      <w:r w:rsidRPr="004C2BFC">
        <w:rPr>
          <w:rFonts w:ascii="Arial" w:eastAsiaTheme="minorEastAsia" w:hAnsi="Arial" w:cs="Arial"/>
          <w:iCs/>
          <w:lang w:val="en-US"/>
        </w:rPr>
        <w:t xml:space="preserve">NHS Norfolk &amp; </w:t>
      </w:r>
      <w:proofErr w:type="spellStart"/>
      <w:r w:rsidRPr="004C2BFC">
        <w:rPr>
          <w:rFonts w:ascii="Arial" w:eastAsiaTheme="minorEastAsia" w:hAnsi="Arial" w:cs="Arial"/>
          <w:iCs/>
          <w:lang w:val="en-US"/>
        </w:rPr>
        <w:t>Waveney</w:t>
      </w:r>
      <w:proofErr w:type="spellEnd"/>
      <w:r w:rsidRPr="004C2BFC">
        <w:rPr>
          <w:rFonts w:ascii="Arial" w:eastAsiaTheme="minorEastAsia" w:hAnsi="Arial" w:cs="Arial"/>
          <w:iCs/>
          <w:lang w:val="en-US"/>
        </w:rPr>
        <w:t xml:space="preserve"> </w:t>
      </w:r>
      <w:r w:rsidR="00D54EB0">
        <w:rPr>
          <w:rFonts w:ascii="Arial" w:eastAsiaTheme="minorEastAsia" w:hAnsi="Arial" w:cs="Arial"/>
          <w:iCs/>
          <w:lang w:val="en-US"/>
        </w:rPr>
        <w:t>ICB</w:t>
      </w:r>
      <w:r w:rsidRPr="004C2BFC" w:rsidDel="000032F6">
        <w:rPr>
          <w:rFonts w:ascii="Arial" w:eastAsiaTheme="minorEastAsia" w:hAnsi="Arial" w:cs="Arial"/>
          <w:bCs/>
        </w:rPr>
        <w:t xml:space="preserve"> </w:t>
      </w:r>
      <w:r w:rsidRPr="004C2BFC">
        <w:rPr>
          <w:rFonts w:ascii="Arial" w:eastAsiaTheme="minorEastAsia" w:hAnsi="Arial" w:cs="Arial"/>
          <w:bCs/>
        </w:rPr>
        <w:t xml:space="preserve">make decisions on investments and disinvestments as part of an annual commissioning and business cycle. NHS Norfolk &amp; Waveney </w:t>
      </w:r>
      <w:r w:rsidR="00FA542F">
        <w:rPr>
          <w:rFonts w:ascii="Arial" w:eastAsiaTheme="minorEastAsia" w:hAnsi="Arial" w:cs="Arial"/>
          <w:bCs/>
        </w:rPr>
        <w:t>ICB</w:t>
      </w:r>
      <w:r w:rsidRPr="004C2BFC">
        <w:rPr>
          <w:rFonts w:ascii="Arial" w:eastAsiaTheme="minorEastAsia" w:hAnsi="Arial" w:cs="Arial"/>
          <w:bCs/>
        </w:rPr>
        <w:t xml:space="preserve"> will not expect to make decisions outside </w:t>
      </w:r>
      <w:r w:rsidRPr="004C2BFC">
        <w:rPr>
          <w:rFonts w:ascii="Arial" w:eastAsiaTheme="minorEastAsia" w:hAnsi="Arial" w:cs="Arial"/>
          <w:bCs/>
        </w:rPr>
        <w:lastRenderedPageBreak/>
        <w:t xml:space="preserve">this process and do not normally expect to commit new resources in year to the introduction of new and novel treatments, since to do so risks </w:t>
      </w:r>
      <w:r w:rsidRPr="004C2BFC">
        <w:rPr>
          <w:rFonts w:ascii="Arial" w:eastAsiaTheme="minorEastAsia" w:hAnsi="Arial" w:cs="Arial"/>
          <w:bCs/>
          <w:i/>
        </w:rPr>
        <w:t>ad hoc</w:t>
      </w:r>
      <w:r w:rsidRPr="004C2BFC">
        <w:rPr>
          <w:rFonts w:ascii="Arial" w:eastAsiaTheme="minorEastAsia" w:hAnsi="Arial" w:cs="Arial"/>
          <w:bCs/>
        </w:rPr>
        <w:t xml:space="preserve"> decision making and can destabilise previously identified priorities.</w:t>
      </w:r>
    </w:p>
    <w:p w14:paraId="2965F3DA" w14:textId="77777777" w:rsidR="00435295" w:rsidRDefault="00435295" w:rsidP="004C2BFC">
      <w:pPr>
        <w:spacing w:after="0"/>
        <w:rPr>
          <w:rFonts w:ascii="Arial" w:eastAsiaTheme="minorEastAsia" w:hAnsi="Arial" w:cs="Arial"/>
          <w:b/>
          <w:bCs/>
        </w:rPr>
      </w:pPr>
    </w:p>
    <w:p w14:paraId="74DFB2F6" w14:textId="5E5EBCEC" w:rsidR="004C2BFC" w:rsidRDefault="004C2BFC" w:rsidP="00A241A1">
      <w:pPr>
        <w:spacing w:after="0"/>
        <w:rPr>
          <w:rFonts w:ascii="Arial" w:eastAsiaTheme="minorEastAsia" w:hAnsi="Arial" w:cs="Arial"/>
          <w:b/>
          <w:bCs/>
        </w:rPr>
      </w:pPr>
      <w:r w:rsidRPr="004C2BFC">
        <w:rPr>
          <w:rFonts w:ascii="Arial" w:eastAsiaTheme="minorEastAsia" w:hAnsi="Arial" w:cs="Arial"/>
          <w:b/>
          <w:bCs/>
        </w:rPr>
        <w:t>Where there is non-compliance with this policy, payment will not be made for the activity.</w:t>
      </w:r>
    </w:p>
    <w:p w14:paraId="13608323" w14:textId="77777777" w:rsidR="00CA600B" w:rsidRPr="00CA600B" w:rsidRDefault="004C2BFC" w:rsidP="009F186A">
      <w:pPr>
        <w:keepNext/>
        <w:keepLines/>
        <w:numPr>
          <w:ilvl w:val="1"/>
          <w:numId w:val="5"/>
        </w:numPr>
        <w:spacing w:before="120" w:after="0" w:line="240" w:lineRule="auto"/>
        <w:outlineLvl w:val="0"/>
        <w:rPr>
          <w:rFonts w:ascii="Arial" w:eastAsiaTheme="minorEastAsia" w:hAnsi="Arial" w:cs="Arial"/>
          <w:bCs/>
        </w:rPr>
      </w:pPr>
      <w:bookmarkStart w:id="6" w:name="PA"/>
      <w:bookmarkStart w:id="7" w:name="_Toc487536626"/>
      <w:bookmarkEnd w:id="6"/>
      <w:r w:rsidRPr="00CA600B">
        <w:rPr>
          <w:rFonts w:ascii="Arial" w:eastAsiaTheme="majorEastAsia" w:hAnsi="Arial" w:cs="Arial"/>
          <w:b/>
        </w:rPr>
        <w:t>Threshold Criteria</w:t>
      </w:r>
      <w:bookmarkEnd w:id="7"/>
    </w:p>
    <w:p w14:paraId="15F42C69" w14:textId="201CFE9D" w:rsidR="004C2BFC" w:rsidRPr="00CA600B" w:rsidRDefault="004C2BFC" w:rsidP="00435295">
      <w:pPr>
        <w:keepNext/>
        <w:keepLines/>
        <w:spacing w:before="120" w:after="0" w:line="240" w:lineRule="auto"/>
        <w:outlineLvl w:val="0"/>
        <w:rPr>
          <w:rFonts w:ascii="Arial" w:eastAsiaTheme="minorEastAsia" w:hAnsi="Arial" w:cs="Arial"/>
          <w:bCs/>
        </w:rPr>
      </w:pPr>
      <w:r w:rsidRPr="00CA600B">
        <w:rPr>
          <w:rFonts w:ascii="Arial" w:eastAsiaTheme="minorEastAsia" w:hAnsi="Arial" w:cs="Arial"/>
          <w:bCs/>
        </w:rPr>
        <w:t>Commissioners agree with Providers the management of referrals which are covered by this policy.</w:t>
      </w:r>
      <w:r w:rsidRPr="00CA600B">
        <w:rPr>
          <w:rFonts w:ascii="Arial" w:eastAsiaTheme="minorEastAsia" w:hAnsi="Arial" w:cs="Arial"/>
          <w:bCs/>
        </w:rPr>
        <w:br/>
      </w:r>
    </w:p>
    <w:p w14:paraId="0292BF86" w14:textId="3F206610" w:rsidR="004C2BFC" w:rsidRDefault="004C2BFC" w:rsidP="00435295">
      <w:pPr>
        <w:numPr>
          <w:ilvl w:val="1"/>
          <w:numId w:val="5"/>
        </w:numPr>
        <w:tabs>
          <w:tab w:val="left" w:pos="540"/>
        </w:tabs>
        <w:spacing w:after="0" w:line="240" w:lineRule="auto"/>
        <w:jc w:val="both"/>
        <w:rPr>
          <w:rFonts w:ascii="Arial" w:eastAsiaTheme="minorEastAsia" w:hAnsi="Arial" w:cs="Arial"/>
          <w:bCs/>
        </w:rPr>
      </w:pPr>
      <w:r w:rsidRPr="004C2BFC">
        <w:rPr>
          <w:rFonts w:ascii="Arial" w:eastAsiaTheme="minorEastAsia" w:hAnsi="Arial" w:cs="Arial"/>
          <w:iCs/>
          <w:lang w:val="en-US"/>
        </w:rPr>
        <w:t xml:space="preserve">NHS Norfolk &amp; Waveney </w:t>
      </w:r>
      <w:r w:rsidR="00FA542F">
        <w:rPr>
          <w:rFonts w:ascii="Arial" w:eastAsiaTheme="minorEastAsia" w:hAnsi="Arial" w:cs="Arial"/>
          <w:iCs/>
          <w:lang w:val="en-US"/>
        </w:rPr>
        <w:t>ICB</w:t>
      </w:r>
      <w:r w:rsidRPr="004C2BFC" w:rsidDel="00B32A47">
        <w:rPr>
          <w:rFonts w:ascii="Arial" w:eastAsiaTheme="minorEastAsia" w:hAnsi="Arial" w:cs="Arial"/>
          <w:bCs/>
        </w:rPr>
        <w:t xml:space="preserve"> </w:t>
      </w:r>
      <w:r w:rsidRPr="004C2BFC">
        <w:rPr>
          <w:rFonts w:ascii="Arial" w:eastAsiaTheme="minorEastAsia" w:hAnsi="Arial" w:cs="Arial"/>
          <w:bCs/>
        </w:rPr>
        <w:t xml:space="preserve">have </w:t>
      </w:r>
      <w:r w:rsidR="006A5EA4" w:rsidRPr="004C2BFC">
        <w:rPr>
          <w:rFonts w:ascii="Arial" w:eastAsiaTheme="minorEastAsia" w:hAnsi="Arial" w:cs="Arial"/>
          <w:bCs/>
        </w:rPr>
        <w:t>identified treatments</w:t>
      </w:r>
      <w:r w:rsidRPr="004C2BFC">
        <w:rPr>
          <w:rFonts w:ascii="Arial" w:eastAsiaTheme="minorEastAsia" w:hAnsi="Arial" w:cs="Arial"/>
          <w:bCs/>
        </w:rPr>
        <w:t xml:space="preserve"> which are subject to threshold criteria. These may include:</w:t>
      </w:r>
    </w:p>
    <w:p w14:paraId="4788BFB2" w14:textId="77777777" w:rsidR="00435295" w:rsidRPr="00435295" w:rsidRDefault="00435295" w:rsidP="00435295">
      <w:pPr>
        <w:tabs>
          <w:tab w:val="left" w:pos="540"/>
        </w:tabs>
        <w:spacing w:after="0" w:line="240" w:lineRule="auto"/>
        <w:jc w:val="both"/>
        <w:rPr>
          <w:rFonts w:ascii="Arial" w:eastAsiaTheme="minorEastAsia" w:hAnsi="Arial" w:cs="Arial"/>
          <w:bCs/>
        </w:rPr>
      </w:pPr>
    </w:p>
    <w:p w14:paraId="52CA278F" w14:textId="77777777" w:rsidR="004C2BFC" w:rsidRPr="004C2BFC" w:rsidRDefault="004C2BFC" w:rsidP="004C2BFC">
      <w:pPr>
        <w:numPr>
          <w:ilvl w:val="1"/>
          <w:numId w:val="2"/>
        </w:numPr>
        <w:spacing w:after="0" w:line="240" w:lineRule="auto"/>
        <w:rPr>
          <w:rFonts w:ascii="Arial" w:eastAsiaTheme="minorEastAsia" w:hAnsi="Arial" w:cs="Arial"/>
          <w:bCs/>
        </w:rPr>
      </w:pPr>
      <w:r w:rsidRPr="004C2BFC">
        <w:rPr>
          <w:rFonts w:ascii="Arial" w:eastAsiaTheme="minorEastAsia" w:hAnsi="Arial" w:cs="Arial"/>
          <w:bCs/>
        </w:rPr>
        <w:t xml:space="preserve">Services that are not available in contracts </w:t>
      </w:r>
    </w:p>
    <w:p w14:paraId="305C756A" w14:textId="77777777" w:rsidR="004C2BFC" w:rsidRPr="004C2BFC" w:rsidRDefault="004C2BFC" w:rsidP="004C2BFC">
      <w:pPr>
        <w:numPr>
          <w:ilvl w:val="1"/>
          <w:numId w:val="2"/>
        </w:numPr>
        <w:spacing w:after="0" w:line="240" w:lineRule="auto"/>
        <w:rPr>
          <w:rFonts w:ascii="Arial" w:eastAsiaTheme="minorEastAsia" w:hAnsi="Arial" w:cs="Arial"/>
          <w:bCs/>
        </w:rPr>
      </w:pPr>
      <w:r w:rsidRPr="004C2BFC">
        <w:rPr>
          <w:rFonts w:ascii="Arial" w:eastAsiaTheme="minorEastAsia" w:hAnsi="Arial" w:cs="Arial"/>
          <w:bCs/>
        </w:rPr>
        <w:t xml:space="preserve">Exceptions to this Clinical Threshold Policy </w:t>
      </w:r>
    </w:p>
    <w:p w14:paraId="66113387" w14:textId="77777777" w:rsidR="004C2BFC" w:rsidRPr="004C2BFC" w:rsidRDefault="004C2BFC" w:rsidP="004C2BFC">
      <w:pPr>
        <w:numPr>
          <w:ilvl w:val="1"/>
          <w:numId w:val="2"/>
        </w:numPr>
        <w:spacing w:after="0" w:line="240" w:lineRule="auto"/>
        <w:rPr>
          <w:rFonts w:ascii="Arial" w:eastAsiaTheme="minorEastAsia" w:hAnsi="Arial" w:cs="Arial"/>
          <w:bCs/>
        </w:rPr>
      </w:pPr>
      <w:r w:rsidRPr="004C2BFC">
        <w:rPr>
          <w:rFonts w:ascii="Arial" w:eastAsiaTheme="minorEastAsia" w:hAnsi="Arial" w:cs="Arial"/>
          <w:bCs/>
        </w:rPr>
        <w:t xml:space="preserve">Certain elective tertiary referrals outside agreed pathways and local networks </w:t>
      </w:r>
    </w:p>
    <w:p w14:paraId="3CF2C1F2" w14:textId="77777777" w:rsidR="004C2BFC" w:rsidRPr="004C2BFC" w:rsidRDefault="004C2BFC" w:rsidP="004C2BFC">
      <w:pPr>
        <w:numPr>
          <w:ilvl w:val="1"/>
          <w:numId w:val="2"/>
        </w:numPr>
        <w:spacing w:after="0" w:line="240" w:lineRule="auto"/>
        <w:rPr>
          <w:rFonts w:ascii="Arial" w:eastAsiaTheme="minorEastAsia" w:hAnsi="Arial" w:cs="Arial"/>
          <w:bCs/>
        </w:rPr>
      </w:pPr>
      <w:r w:rsidRPr="004C2BFC">
        <w:rPr>
          <w:rFonts w:ascii="Arial" w:eastAsiaTheme="minorEastAsia" w:hAnsi="Arial" w:cs="Arial"/>
          <w:bCs/>
        </w:rPr>
        <w:t>Internal Consultant to Consultant referrals outside of agreed exceptions or pathways</w:t>
      </w:r>
    </w:p>
    <w:p w14:paraId="2F67FE05" w14:textId="057EBDCC" w:rsidR="00DF0AB1" w:rsidRPr="00A241A1" w:rsidRDefault="004C2BFC" w:rsidP="004C2BFC">
      <w:pPr>
        <w:numPr>
          <w:ilvl w:val="1"/>
          <w:numId w:val="2"/>
        </w:numPr>
        <w:spacing w:after="0" w:line="240" w:lineRule="auto"/>
        <w:rPr>
          <w:rFonts w:ascii="Arial" w:eastAsiaTheme="minorEastAsia" w:hAnsi="Arial" w:cs="Arial"/>
          <w:bCs/>
        </w:rPr>
      </w:pPr>
      <w:r w:rsidRPr="004C2BFC">
        <w:rPr>
          <w:rFonts w:ascii="Arial" w:eastAsiaTheme="minorEastAsia" w:hAnsi="Arial" w:cs="Arial"/>
          <w:bCs/>
        </w:rPr>
        <w:t xml:space="preserve">Where the threshold criteria for a procedure or treatment </w:t>
      </w:r>
      <w:proofErr w:type="gramStart"/>
      <w:r w:rsidRPr="004C2BFC">
        <w:rPr>
          <w:rFonts w:ascii="Arial" w:eastAsiaTheme="minorEastAsia" w:hAnsi="Arial" w:cs="Arial"/>
          <w:bCs/>
        </w:rPr>
        <w:t>has</w:t>
      </w:r>
      <w:proofErr w:type="gramEnd"/>
      <w:r w:rsidRPr="004C2BFC">
        <w:rPr>
          <w:rFonts w:ascii="Arial" w:eastAsiaTheme="minorEastAsia" w:hAnsi="Arial" w:cs="Arial"/>
          <w:bCs/>
        </w:rPr>
        <w:t xml:space="preserve"> not been met, an Individual Funding Request application can be made if the referrer considers there are clinically exceptional circumstances.</w:t>
      </w:r>
    </w:p>
    <w:p w14:paraId="4388DFA8" w14:textId="77777777" w:rsidR="004C2BFC" w:rsidRPr="004C2BFC" w:rsidRDefault="004C2BFC" w:rsidP="004C2BFC">
      <w:pPr>
        <w:keepNext/>
        <w:keepLines/>
        <w:numPr>
          <w:ilvl w:val="0"/>
          <w:numId w:val="5"/>
        </w:numPr>
        <w:spacing w:before="120" w:after="40" w:line="240" w:lineRule="auto"/>
        <w:ind w:left="357" w:hanging="357"/>
        <w:outlineLvl w:val="0"/>
        <w:rPr>
          <w:rFonts w:ascii="Arial" w:eastAsiaTheme="majorEastAsia" w:hAnsi="Arial" w:cs="Arial"/>
          <w:b/>
        </w:rPr>
      </w:pPr>
      <w:bookmarkStart w:id="8" w:name="_Toc487536627"/>
      <w:r w:rsidRPr="004C2BFC">
        <w:rPr>
          <w:rFonts w:ascii="Arial" w:eastAsiaTheme="majorEastAsia" w:hAnsi="Arial" w:cs="Arial"/>
          <w:b/>
        </w:rPr>
        <w:t>Statements</w:t>
      </w:r>
      <w:bookmarkEnd w:id="8"/>
    </w:p>
    <w:p w14:paraId="74F901B3" w14:textId="77777777" w:rsidR="004C2BFC" w:rsidRPr="004C2BFC" w:rsidRDefault="004C2BFC" w:rsidP="004C2BFC">
      <w:pPr>
        <w:spacing w:after="0"/>
        <w:rPr>
          <w:rFonts w:ascii="Arial" w:eastAsiaTheme="minorEastAsia" w:hAnsi="Arial" w:cs="Arial"/>
          <w:b/>
        </w:rPr>
      </w:pPr>
    </w:p>
    <w:p w14:paraId="0FC32FC9" w14:textId="77777777" w:rsidR="004C2BFC" w:rsidRPr="004C2BFC" w:rsidRDefault="004C2BFC" w:rsidP="004C2BFC">
      <w:pPr>
        <w:spacing w:after="3"/>
        <w:ind w:left="12" w:hanging="10"/>
        <w:jc w:val="both"/>
        <w:rPr>
          <w:rFonts w:ascii="Arial" w:eastAsia="Arial" w:hAnsi="Arial" w:cs="Arial"/>
          <w:b/>
          <w:color w:val="000000"/>
        </w:rPr>
      </w:pPr>
      <w:r w:rsidRPr="004C2BFC">
        <w:rPr>
          <w:rFonts w:ascii="Arial" w:eastAsia="Arial" w:hAnsi="Arial" w:cs="Arial"/>
          <w:b/>
          <w:color w:val="000000"/>
        </w:rPr>
        <w:t xml:space="preserve">Equality Statement </w:t>
      </w:r>
    </w:p>
    <w:p w14:paraId="4E0CD9F5" w14:textId="5958C652" w:rsidR="004C2BFC" w:rsidRPr="004C2BFC" w:rsidRDefault="004C2BFC" w:rsidP="004C2BFC">
      <w:pPr>
        <w:spacing w:after="3"/>
        <w:ind w:left="12" w:hanging="10"/>
        <w:jc w:val="both"/>
        <w:rPr>
          <w:rFonts w:ascii="Arial" w:eastAsia="Arial" w:hAnsi="Arial" w:cs="Arial"/>
          <w:b/>
        </w:rPr>
      </w:pPr>
      <w:r w:rsidRPr="004C2BFC">
        <w:rPr>
          <w:rFonts w:ascii="Arial" w:eastAsia="Arial" w:hAnsi="Arial" w:cs="Arial"/>
          <w:color w:val="000000"/>
        </w:rPr>
        <w:t xml:space="preserve">NHS Norfolk &amp; Waveney </w:t>
      </w:r>
      <w:r w:rsidR="00542C9B">
        <w:rPr>
          <w:rFonts w:ascii="Arial" w:eastAsia="Arial" w:hAnsi="Arial" w:cs="Arial"/>
          <w:color w:val="000000"/>
        </w:rPr>
        <w:t>ICB</w:t>
      </w:r>
      <w:r w:rsidRPr="004C2BFC">
        <w:rPr>
          <w:rFonts w:ascii="Arial" w:eastAsia="Arial" w:hAnsi="Arial" w:cs="Arial"/>
          <w:color w:val="000000"/>
        </w:rPr>
        <w:t xml:space="preserve"> and the Clinical Policy Development Group (CPDG) are committed to ensuring equality of access and non-discrimination as enshrined in the Health and Social Care Act 2012. In carrying out its functions, the CPDG will have due regard to the different needs of protected equality groups, in line with the Equality Act 2010. The policy statement </w:t>
      </w:r>
      <w:r w:rsidRPr="004C2BFC">
        <w:rPr>
          <w:rFonts w:ascii="Arial" w:eastAsia="Arial" w:hAnsi="Arial" w:cs="Arial"/>
        </w:rPr>
        <w:t>documents prepared by the NHS Norfolk &amp; Waveney Clinical Policy Development Group are compliant with the NHS Constitution and the Human Rights Act 1998.</w:t>
      </w:r>
    </w:p>
    <w:p w14:paraId="5E125EB9" w14:textId="05B70573" w:rsidR="004C2BFC" w:rsidRPr="004C2BFC" w:rsidRDefault="004C2BFC" w:rsidP="004C2BFC">
      <w:pPr>
        <w:spacing w:after="3"/>
        <w:ind w:left="12" w:hanging="10"/>
        <w:jc w:val="both"/>
        <w:rPr>
          <w:rFonts w:ascii="Arial" w:eastAsia="Arial" w:hAnsi="Arial" w:cs="Arial"/>
          <w:b/>
          <w:color w:val="000000"/>
        </w:rPr>
      </w:pPr>
    </w:p>
    <w:p w14:paraId="01C8CD6E" w14:textId="77777777" w:rsidR="004C2BFC" w:rsidRPr="004C2BFC" w:rsidRDefault="004C2BFC" w:rsidP="004C2BFC">
      <w:pPr>
        <w:spacing w:after="3"/>
        <w:ind w:left="12" w:hanging="10"/>
        <w:jc w:val="both"/>
        <w:rPr>
          <w:rFonts w:ascii="Arial" w:eastAsia="Arial" w:hAnsi="Arial" w:cs="Arial"/>
          <w:b/>
          <w:color w:val="000000"/>
        </w:rPr>
      </w:pPr>
      <w:r w:rsidRPr="004C2BFC">
        <w:rPr>
          <w:rFonts w:ascii="Arial" w:eastAsia="Arial" w:hAnsi="Arial" w:cs="Arial"/>
          <w:b/>
          <w:color w:val="000000"/>
        </w:rPr>
        <w:t>Clinical Governance Statement</w:t>
      </w:r>
    </w:p>
    <w:p w14:paraId="0F7DAFDC" w14:textId="052E6A86" w:rsidR="004C2BFC" w:rsidRPr="004C2BFC" w:rsidRDefault="004C2BFC" w:rsidP="004C2BFC">
      <w:pPr>
        <w:spacing w:after="3"/>
        <w:ind w:left="12" w:hanging="10"/>
        <w:jc w:val="both"/>
        <w:rPr>
          <w:rFonts w:ascii="Arial" w:eastAsia="Arial" w:hAnsi="Arial" w:cs="Arial"/>
          <w:color w:val="000000"/>
        </w:rPr>
      </w:pPr>
      <w:r w:rsidRPr="004C2BFC">
        <w:rPr>
          <w:rFonts w:ascii="Arial" w:eastAsia="Arial" w:hAnsi="Arial" w:cs="Arial"/>
          <w:color w:val="000000"/>
        </w:rPr>
        <w:t xml:space="preserve">It is important the implementation of policies is seen as an opportunity to encourage team working and cooperation between commissioners, primary and secondary care providers. Service Providers will be expected to collect and provide audit data on request as part of a </w:t>
      </w:r>
      <w:r w:rsidR="00B22973" w:rsidRPr="004C2BFC">
        <w:rPr>
          <w:rFonts w:ascii="Arial" w:eastAsia="Arial" w:hAnsi="Arial" w:cs="Arial"/>
          <w:color w:val="000000"/>
        </w:rPr>
        <w:t>professionally led</w:t>
      </w:r>
      <w:r w:rsidRPr="004C2BFC">
        <w:rPr>
          <w:rFonts w:ascii="Arial" w:eastAsia="Arial" w:hAnsi="Arial" w:cs="Arial"/>
          <w:color w:val="000000"/>
        </w:rPr>
        <w:t xml:space="preserve"> clinical review and audit cycle.</w:t>
      </w:r>
    </w:p>
    <w:p w14:paraId="63D0358E" w14:textId="77777777" w:rsidR="004C2BFC" w:rsidRPr="004C2BFC" w:rsidRDefault="004C2BFC" w:rsidP="004C2BFC">
      <w:pPr>
        <w:spacing w:after="3"/>
        <w:ind w:left="12" w:hanging="10"/>
        <w:jc w:val="both"/>
        <w:rPr>
          <w:rFonts w:ascii="Arial" w:eastAsia="Arial" w:hAnsi="Arial" w:cs="Arial"/>
          <w:b/>
          <w:color w:val="000000"/>
        </w:rPr>
      </w:pPr>
    </w:p>
    <w:p w14:paraId="45A386FD" w14:textId="77777777" w:rsidR="004C2BFC" w:rsidRPr="004C2BFC" w:rsidRDefault="004C2BFC" w:rsidP="00F170B8">
      <w:pPr>
        <w:tabs>
          <w:tab w:val="right" w:pos="10204"/>
        </w:tabs>
        <w:spacing w:after="3"/>
        <w:ind w:left="12" w:hanging="10"/>
        <w:jc w:val="both"/>
        <w:rPr>
          <w:rFonts w:ascii="Arial" w:eastAsia="Arial" w:hAnsi="Arial" w:cs="Arial"/>
          <w:b/>
          <w:color w:val="000000"/>
        </w:rPr>
      </w:pPr>
      <w:r w:rsidRPr="004C2BFC">
        <w:rPr>
          <w:rFonts w:ascii="Arial" w:eastAsia="Arial" w:hAnsi="Arial" w:cs="Arial"/>
          <w:b/>
          <w:color w:val="000000"/>
        </w:rPr>
        <w:t>Exceptionality</w:t>
      </w:r>
      <w:r w:rsidR="00F170B8">
        <w:rPr>
          <w:rFonts w:ascii="Arial" w:eastAsia="Arial" w:hAnsi="Arial" w:cs="Arial"/>
          <w:b/>
          <w:color w:val="000000"/>
        </w:rPr>
        <w:tab/>
      </w:r>
    </w:p>
    <w:p w14:paraId="69542819" w14:textId="6C0F59D7" w:rsidR="00150368" w:rsidRDefault="004C2BFC" w:rsidP="002A153B">
      <w:pPr>
        <w:spacing w:after="3"/>
        <w:ind w:left="12" w:hanging="10"/>
        <w:jc w:val="both"/>
        <w:rPr>
          <w:rFonts w:ascii="Arial" w:eastAsia="Arial" w:hAnsi="Arial" w:cs="Arial"/>
          <w:color w:val="000000"/>
        </w:rPr>
      </w:pPr>
      <w:r w:rsidRPr="004C2BFC">
        <w:rPr>
          <w:rFonts w:ascii="Arial" w:eastAsia="Arial" w:hAnsi="Arial" w:cs="Arial"/>
          <w:color w:val="000000"/>
        </w:rPr>
        <w:t>For patients not meeting the threshold criteria or where a treatment is not routinely funded, an application should be made to the Individual Funding Request (IFR) panel if the referrer considers there are clinically exceptional circumstances. IFR policy and procedure documents can be found on Knowledge Anglia.</w:t>
      </w:r>
    </w:p>
    <w:p w14:paraId="5C9332AD" w14:textId="77777777" w:rsidR="00DF0AB1" w:rsidRDefault="00DF0AB1" w:rsidP="00DF0AB1">
      <w:pPr>
        <w:spacing w:after="3"/>
        <w:ind w:left="12" w:hanging="10"/>
        <w:jc w:val="both"/>
        <w:rPr>
          <w:rFonts w:ascii="Arial" w:eastAsia="Arial" w:hAnsi="Arial" w:cs="Arial"/>
          <w:b/>
          <w:color w:val="000000"/>
        </w:rPr>
      </w:pPr>
    </w:p>
    <w:p w14:paraId="160C10C2" w14:textId="77777777" w:rsidR="004C2BFC" w:rsidRDefault="004C2BFC" w:rsidP="004C2BFC">
      <w:pPr>
        <w:spacing w:after="3"/>
        <w:ind w:left="12" w:hanging="10"/>
        <w:jc w:val="both"/>
        <w:rPr>
          <w:rFonts w:ascii="Arial" w:eastAsia="Arial" w:hAnsi="Arial" w:cs="Arial"/>
          <w:b/>
          <w:color w:val="000000"/>
        </w:rPr>
      </w:pPr>
      <w:r w:rsidRPr="004C2BFC">
        <w:rPr>
          <w:rFonts w:ascii="Arial" w:eastAsia="Arial" w:hAnsi="Arial" w:cs="Arial"/>
          <w:b/>
          <w:color w:val="000000"/>
        </w:rPr>
        <w:t>Psychological Exceptionality &amp; Aesthetic Surgery</w:t>
      </w:r>
    </w:p>
    <w:p w14:paraId="79D49970" w14:textId="77777777" w:rsidR="00CA600B" w:rsidRPr="004C2BFC" w:rsidRDefault="00CA600B" w:rsidP="004C2BFC">
      <w:pPr>
        <w:spacing w:after="3"/>
        <w:ind w:left="12" w:hanging="10"/>
        <w:jc w:val="both"/>
        <w:rPr>
          <w:rFonts w:ascii="Arial" w:eastAsia="Arial" w:hAnsi="Arial" w:cs="Arial"/>
          <w:b/>
          <w:color w:val="000000"/>
        </w:rPr>
      </w:pPr>
    </w:p>
    <w:p w14:paraId="67EBAA41" w14:textId="23F68C8F" w:rsidR="004C2BFC" w:rsidRPr="004C2BFC" w:rsidRDefault="004C2BFC" w:rsidP="004C2BFC">
      <w:pPr>
        <w:spacing w:after="3"/>
        <w:ind w:left="12" w:hanging="10"/>
        <w:jc w:val="both"/>
        <w:rPr>
          <w:rFonts w:ascii="Arial" w:eastAsia="Arial" w:hAnsi="Arial" w:cs="Arial"/>
          <w:color w:val="000000"/>
        </w:rPr>
      </w:pPr>
      <w:r w:rsidRPr="004C2BFC">
        <w:rPr>
          <w:rFonts w:ascii="Arial" w:eastAsia="Arial" w:hAnsi="Arial" w:cs="Arial"/>
          <w:color w:val="000000"/>
        </w:rPr>
        <w:t xml:space="preserve">Patients experiencing psychological distress or social impairment </w:t>
      </w:r>
      <w:proofErr w:type="gramStart"/>
      <w:r w:rsidRPr="004C2BFC">
        <w:rPr>
          <w:rFonts w:ascii="Arial" w:eastAsia="Arial" w:hAnsi="Arial" w:cs="Arial"/>
          <w:color w:val="000000"/>
        </w:rPr>
        <w:t>as a result of</w:t>
      </w:r>
      <w:proofErr w:type="gramEnd"/>
      <w:r w:rsidRPr="004C2BFC">
        <w:rPr>
          <w:rFonts w:ascii="Arial" w:eastAsia="Arial" w:hAnsi="Arial" w:cs="Arial"/>
          <w:color w:val="000000"/>
        </w:rPr>
        <w:t xml:space="preserve"> their condition cannot be considered to be “clinically” different from other patients with the same condition. Normal psychological and social experiences of illness, impairment or deformity may cause distress, but are not likely to render the patient “exceptional” according to the definition used by NHS England. This is because the definition explicitly states that only clinical factors may be considered. It is expected that any psychological distress is managed through local mental health care pathways.</w:t>
      </w:r>
    </w:p>
    <w:p w14:paraId="0E7DD67F" w14:textId="29DC5BB5" w:rsidR="000656E8" w:rsidRPr="00CA600B" w:rsidRDefault="000656E8">
      <w:pPr>
        <w:rPr>
          <w:rFonts w:ascii="Arial" w:hAnsi="Arial" w:cs="Arial"/>
        </w:rPr>
      </w:pPr>
      <w:r>
        <w:rPr>
          <w:rFonts w:ascii="Arial" w:hAnsi="Arial" w:cs="Arial"/>
        </w:rPr>
        <w:t>Note:  C</w:t>
      </w:r>
      <w:r>
        <w:rPr>
          <w:rFonts w:ascii="Arial" w:hAnsi="Arial" w:cs="Arial"/>
          <w:i/>
        </w:rPr>
        <w:t xml:space="preserve">linical threshold policies are not applicable to patients on a cancer treatment </w:t>
      </w:r>
      <w:r w:rsidR="00B22973">
        <w:rPr>
          <w:rFonts w:ascii="Arial" w:hAnsi="Arial" w:cs="Arial"/>
          <w:i/>
        </w:rPr>
        <w:t>pathway,</w:t>
      </w:r>
      <w:r>
        <w:rPr>
          <w:rFonts w:ascii="Arial" w:hAnsi="Arial" w:cs="Arial"/>
          <w:i/>
        </w:rPr>
        <w:t xml:space="preserve"> or a 2 week wait pathway.</w:t>
      </w:r>
    </w:p>
    <w:sectPr w:rsidR="000656E8" w:rsidRPr="00CA600B" w:rsidSect="00B22973">
      <w:headerReference w:type="default" r:id="rId8"/>
      <w:footerReference w:type="default" r:id="rId9"/>
      <w:headerReference w:type="first" r:id="rId10"/>
      <w:footerReference w:type="first" r:id="rId11"/>
      <w:pgSz w:w="11906" w:h="16838"/>
      <w:pgMar w:top="1418" w:right="851" w:bottom="1418" w:left="851"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5556" w14:textId="77777777" w:rsidR="001D0E2C" w:rsidRDefault="001D0E2C" w:rsidP="004F6A98">
      <w:pPr>
        <w:spacing w:after="0" w:line="240" w:lineRule="auto"/>
      </w:pPr>
      <w:r>
        <w:separator/>
      </w:r>
    </w:p>
  </w:endnote>
  <w:endnote w:type="continuationSeparator" w:id="0">
    <w:p w14:paraId="51BDF188" w14:textId="77777777" w:rsidR="001D0E2C" w:rsidRDefault="001D0E2C" w:rsidP="004F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354D" w14:textId="68BDA742" w:rsidR="00150368" w:rsidRPr="00E545AF" w:rsidRDefault="00156828" w:rsidP="00150368">
    <w:pPr>
      <w:pStyle w:val="Footer"/>
      <w:rPr>
        <w:rFonts w:ascii="Arial" w:hAnsi="Arial" w:cs="Arial"/>
        <w:b/>
        <w:sz w:val="20"/>
        <w:szCs w:val="20"/>
      </w:rPr>
    </w:pPr>
    <w:r>
      <w:rPr>
        <w:rFonts w:ascii="Arial" w:hAnsi="Arial" w:cs="Arial"/>
      </w:rPr>
      <w:t>1</w:t>
    </w:r>
    <w:r w:rsidR="008C4A77" w:rsidRPr="008C4A77">
      <w:rPr>
        <w:rFonts w:ascii="Arial" w:hAnsi="Arial" w:cs="Arial"/>
        <w:vertAlign w:val="superscript"/>
      </w:rPr>
      <w:t>st</w:t>
    </w:r>
    <w:r w:rsidR="008C4A77">
      <w:rPr>
        <w:rFonts w:ascii="Arial" w:hAnsi="Arial" w:cs="Arial"/>
      </w:rPr>
      <w:t xml:space="preserve"> July 2022 </w:t>
    </w:r>
    <w:r w:rsidR="00150368" w:rsidRPr="00150368">
      <w:rPr>
        <w:rFonts w:ascii="Arial" w:hAnsi="Arial" w:cs="Arial"/>
      </w:rPr>
      <w:t xml:space="preserve">CPDG Version </w:t>
    </w:r>
    <w:r w:rsidR="008C4A77">
      <w:rPr>
        <w:rFonts w:ascii="Arial" w:hAnsi="Arial" w:cs="Arial"/>
      </w:rPr>
      <w:t>2</w:t>
    </w:r>
    <w:r w:rsidR="00150368">
      <w:tab/>
    </w:r>
    <w:r w:rsidR="00150368">
      <w:tab/>
    </w:r>
    <w:r w:rsidR="00150368">
      <w:tab/>
      <w:t xml:space="preserve">    </w:t>
    </w:r>
    <w:r w:rsidR="00150368" w:rsidRPr="00E545AF">
      <w:rPr>
        <w:rFonts w:ascii="Arial" w:hAnsi="Arial" w:cs="Arial"/>
        <w:b/>
        <w:sz w:val="20"/>
        <w:szCs w:val="20"/>
      </w:rPr>
      <w:t xml:space="preserve">Page </w:t>
    </w:r>
    <w:sdt>
      <w:sdtPr>
        <w:rPr>
          <w:rFonts w:ascii="Arial" w:hAnsi="Arial" w:cs="Arial"/>
          <w:b/>
          <w:sz w:val="20"/>
          <w:szCs w:val="20"/>
        </w:rPr>
        <w:id w:val="1427004407"/>
        <w:docPartObj>
          <w:docPartGallery w:val="Page Numbers (Bottom of Page)"/>
          <w:docPartUnique/>
        </w:docPartObj>
      </w:sdtPr>
      <w:sdtEndPr>
        <w:rPr>
          <w:noProof/>
        </w:rPr>
      </w:sdtEndPr>
      <w:sdtContent>
        <w:r w:rsidR="00150368" w:rsidRPr="00E545AF">
          <w:rPr>
            <w:rFonts w:ascii="Arial" w:hAnsi="Arial" w:cs="Arial"/>
            <w:b/>
            <w:sz w:val="20"/>
            <w:szCs w:val="20"/>
          </w:rPr>
          <w:fldChar w:fldCharType="begin"/>
        </w:r>
        <w:r w:rsidR="00150368" w:rsidRPr="00E545AF">
          <w:rPr>
            <w:rFonts w:ascii="Arial" w:hAnsi="Arial" w:cs="Arial"/>
            <w:b/>
            <w:sz w:val="20"/>
            <w:szCs w:val="20"/>
          </w:rPr>
          <w:instrText xml:space="preserve"> PAGE   \* MERGEFORMAT </w:instrText>
        </w:r>
        <w:r w:rsidR="00150368" w:rsidRPr="00E545AF">
          <w:rPr>
            <w:rFonts w:ascii="Arial" w:hAnsi="Arial" w:cs="Arial"/>
            <w:b/>
            <w:sz w:val="20"/>
            <w:szCs w:val="20"/>
          </w:rPr>
          <w:fldChar w:fldCharType="separate"/>
        </w:r>
        <w:r w:rsidR="000656E8">
          <w:rPr>
            <w:rFonts w:ascii="Arial" w:hAnsi="Arial" w:cs="Arial"/>
            <w:b/>
            <w:noProof/>
            <w:sz w:val="20"/>
            <w:szCs w:val="20"/>
          </w:rPr>
          <w:t>3</w:t>
        </w:r>
        <w:r w:rsidR="00150368" w:rsidRPr="00E545AF">
          <w:rPr>
            <w:rFonts w:ascii="Arial" w:hAnsi="Arial" w:cs="Arial"/>
            <w:b/>
            <w:noProof/>
            <w:sz w:val="20"/>
            <w:szCs w:val="20"/>
          </w:rPr>
          <w:fldChar w:fldCharType="end"/>
        </w:r>
      </w:sdtContent>
    </w:sdt>
  </w:p>
  <w:p w14:paraId="0C22A604" w14:textId="77777777" w:rsidR="00150368" w:rsidRDefault="00150368" w:rsidP="00150368">
    <w:pPr>
      <w:pStyle w:val="Footer"/>
      <w:rPr>
        <w:rFonts w:ascii="Arial" w:hAnsi="Arial" w:cs="Arial"/>
        <w:sz w:val="20"/>
        <w:szCs w:val="20"/>
      </w:rPr>
    </w:pPr>
  </w:p>
  <w:p w14:paraId="28478F2B" w14:textId="77777777" w:rsidR="002B3EBB" w:rsidRPr="00E545AF" w:rsidRDefault="002B3EBB" w:rsidP="00150368">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02E7" w14:textId="77777777" w:rsidR="002B3EBB" w:rsidRDefault="002B3EBB" w:rsidP="00DF0AB1">
    <w:pPr>
      <w:pStyle w:val="Footer"/>
      <w:pBdr>
        <w:bottom w:val="single" w:sz="12" w:space="1" w:color="auto"/>
      </w:pBdr>
      <w:rPr>
        <w:i/>
      </w:rPr>
    </w:pPr>
  </w:p>
  <w:p w14:paraId="60E51B21" w14:textId="77777777" w:rsidR="002B3EBB" w:rsidRDefault="002B3EBB" w:rsidP="00DF0AB1">
    <w:pPr>
      <w:pStyle w:val="Footer"/>
      <w:rPr>
        <w:i/>
      </w:rPr>
    </w:pPr>
  </w:p>
  <w:p w14:paraId="7231ED36" w14:textId="6CF57437" w:rsidR="002B3EBB" w:rsidRDefault="00B22973">
    <w:pPr>
      <w:pStyle w:val="Footer"/>
    </w:pPr>
    <w:r>
      <w:rPr>
        <w:rFonts w:ascii="Arial" w:hAnsi="Arial" w:cs="Arial"/>
      </w:rPr>
      <w:t>1</w:t>
    </w:r>
    <w:r w:rsidRPr="008C4A77">
      <w:rPr>
        <w:rFonts w:ascii="Arial" w:hAnsi="Arial" w:cs="Arial"/>
        <w:vertAlign w:val="superscript"/>
      </w:rPr>
      <w:t>st</w:t>
    </w:r>
    <w:r>
      <w:rPr>
        <w:rFonts w:ascii="Arial" w:hAnsi="Arial" w:cs="Arial"/>
      </w:rPr>
      <w:t xml:space="preserve"> July 2022 </w:t>
    </w:r>
    <w:r w:rsidRPr="00150368">
      <w:rPr>
        <w:rFonts w:ascii="Arial" w:hAnsi="Arial" w:cs="Arial"/>
      </w:rPr>
      <w:t xml:space="preserve">CPDG Version </w:t>
    </w:r>
    <w:r>
      <w:rPr>
        <w:rFonts w:ascii="Arial" w:hAnsi="Arial" w:cs="Arial"/>
      </w:rPr>
      <w:t>2</w:t>
    </w:r>
  </w:p>
  <w:p w14:paraId="00662728" w14:textId="77777777" w:rsidR="00616315" w:rsidRDefault="00616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6032" w14:textId="77777777" w:rsidR="001D0E2C" w:rsidRDefault="001D0E2C" w:rsidP="004F6A98">
      <w:pPr>
        <w:spacing w:after="0" w:line="240" w:lineRule="auto"/>
      </w:pPr>
      <w:r>
        <w:separator/>
      </w:r>
    </w:p>
  </w:footnote>
  <w:footnote w:type="continuationSeparator" w:id="0">
    <w:p w14:paraId="747D9585" w14:textId="77777777" w:rsidR="001D0E2C" w:rsidRDefault="001D0E2C" w:rsidP="004F6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EDF6" w14:textId="52E338AC" w:rsidR="00E03A2C" w:rsidRDefault="00754B58" w:rsidP="00E03A2C">
    <w:pPr>
      <w:pStyle w:val="Header"/>
    </w:pPr>
    <w:r>
      <w:rPr>
        <w:noProof/>
      </w:rPr>
      <w:drawing>
        <wp:inline distT="0" distB="0" distL="0" distR="0" wp14:anchorId="706FB87F" wp14:editId="21B6600C">
          <wp:extent cx="2188176" cy="809625"/>
          <wp:effectExtent l="0" t="0" r="3175" b="0"/>
          <wp:docPr id="4" name="Picture 4" descr="Norfolk &amp; Waveney I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orfolk &amp; Waveney IC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7" cy="810343"/>
                  </a:xfrm>
                  <a:prstGeom prst="rect">
                    <a:avLst/>
                  </a:prstGeom>
                  <a:noFill/>
                  <a:ln>
                    <a:noFill/>
                  </a:ln>
                </pic:spPr>
              </pic:pic>
            </a:graphicData>
          </a:graphic>
        </wp:inline>
      </w:drawing>
    </w:r>
  </w:p>
  <w:p w14:paraId="5B693AE3" w14:textId="77777777" w:rsidR="00890F70" w:rsidRPr="00E03A2C" w:rsidRDefault="00890F70" w:rsidP="00E03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F6E8" w14:textId="296C28FF" w:rsidR="009F0994" w:rsidRDefault="00502E32" w:rsidP="009F0994">
    <w:pPr>
      <w:pStyle w:val="Header"/>
      <w:ind w:left="3544" w:firstLine="2552"/>
    </w:pPr>
    <w:r>
      <w:rPr>
        <w:noProof/>
      </w:rPr>
      <w:drawing>
        <wp:inline distT="0" distB="0" distL="0" distR="0" wp14:anchorId="6C61F0E4" wp14:editId="08AB8DC1">
          <wp:extent cx="2108200" cy="1009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1009650"/>
                  </a:xfrm>
                  <a:prstGeom prst="rect">
                    <a:avLst/>
                  </a:prstGeom>
                  <a:noFill/>
                  <a:ln>
                    <a:noFill/>
                  </a:ln>
                </pic:spPr>
              </pic:pic>
            </a:graphicData>
          </a:graphic>
        </wp:inline>
      </w:drawing>
    </w:r>
  </w:p>
  <w:p w14:paraId="64FA026A" w14:textId="77777777" w:rsidR="009F0994" w:rsidRDefault="009F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1D9"/>
    <w:multiLevelType w:val="multilevel"/>
    <w:tmpl w:val="26866068"/>
    <w:lvl w:ilvl="0">
      <w:start w:val="2"/>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144"/>
        </w:tabs>
        <w:ind w:left="0" w:firstLine="0"/>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2B84E51"/>
    <w:multiLevelType w:val="multilevel"/>
    <w:tmpl w:val="E0CA588A"/>
    <w:lvl w:ilvl="0">
      <w:start w:val="3"/>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144"/>
        </w:tabs>
        <w:ind w:left="0" w:firstLine="0"/>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4253B44"/>
    <w:multiLevelType w:val="hybridMultilevel"/>
    <w:tmpl w:val="28EC6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265168"/>
    <w:multiLevelType w:val="multilevel"/>
    <w:tmpl w:val="87DA5256"/>
    <w:lvl w:ilvl="0">
      <w:start w:val="1"/>
      <w:numFmt w:val="decimal"/>
      <w:isLg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5B421A3"/>
    <w:multiLevelType w:val="multilevel"/>
    <w:tmpl w:val="C7C67D8A"/>
    <w:lvl w:ilvl="0">
      <w:start w:val="3"/>
      <w:numFmt w:val="decimal"/>
      <w:isLgl/>
      <w:lvlText w:val="%1."/>
      <w:lvlJc w:val="left"/>
      <w:pPr>
        <w:tabs>
          <w:tab w:val="num" w:pos="360"/>
        </w:tabs>
        <w:ind w:left="360" w:hanging="360"/>
      </w:pPr>
      <w:rPr>
        <w:rFonts w:hint="default"/>
        <w:b/>
        <w:i w:val="0"/>
      </w:rPr>
    </w:lvl>
    <w:lvl w:ilvl="1">
      <w:start w:val="3"/>
      <w:numFmt w:val="decimal"/>
      <w:lvlText w:val="%1.%2."/>
      <w:lvlJc w:val="left"/>
      <w:pPr>
        <w:tabs>
          <w:tab w:val="num" w:pos="144"/>
        </w:tabs>
        <w:ind w:left="0" w:firstLine="0"/>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27993590">
    <w:abstractNumId w:val="0"/>
  </w:num>
  <w:num w:numId="2" w16cid:durableId="578255563">
    <w:abstractNumId w:val="3"/>
  </w:num>
  <w:num w:numId="3" w16cid:durableId="965161889">
    <w:abstractNumId w:val="2"/>
  </w:num>
  <w:num w:numId="4" w16cid:durableId="1355767556">
    <w:abstractNumId w:val="4"/>
  </w:num>
  <w:num w:numId="5" w16cid:durableId="215747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FC"/>
    <w:rsid w:val="000656E8"/>
    <w:rsid w:val="00150368"/>
    <w:rsid w:val="00156828"/>
    <w:rsid w:val="001D0E2C"/>
    <w:rsid w:val="002A153B"/>
    <w:rsid w:val="002B3EBB"/>
    <w:rsid w:val="00435295"/>
    <w:rsid w:val="004C2BFC"/>
    <w:rsid w:val="004F6A98"/>
    <w:rsid w:val="00502E32"/>
    <w:rsid w:val="00542C9B"/>
    <w:rsid w:val="005B4DED"/>
    <w:rsid w:val="00616315"/>
    <w:rsid w:val="00670894"/>
    <w:rsid w:val="006A5EA4"/>
    <w:rsid w:val="00754B58"/>
    <w:rsid w:val="007B3A89"/>
    <w:rsid w:val="00890F70"/>
    <w:rsid w:val="00895345"/>
    <w:rsid w:val="008C4A77"/>
    <w:rsid w:val="008E0D29"/>
    <w:rsid w:val="009F0994"/>
    <w:rsid w:val="00A241A1"/>
    <w:rsid w:val="00A9013F"/>
    <w:rsid w:val="00AC5EA6"/>
    <w:rsid w:val="00B22973"/>
    <w:rsid w:val="00B649CB"/>
    <w:rsid w:val="00BB1B8F"/>
    <w:rsid w:val="00BC6B74"/>
    <w:rsid w:val="00C56B23"/>
    <w:rsid w:val="00CA600B"/>
    <w:rsid w:val="00CE612E"/>
    <w:rsid w:val="00D54EB0"/>
    <w:rsid w:val="00DF0AB1"/>
    <w:rsid w:val="00E03A2C"/>
    <w:rsid w:val="00F170B8"/>
    <w:rsid w:val="00FA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645A5"/>
  <w15:chartTrackingRefBased/>
  <w15:docId w15:val="{5841B355-5054-44D0-A5A9-5633872B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A98"/>
  </w:style>
  <w:style w:type="paragraph" w:styleId="Footer">
    <w:name w:val="footer"/>
    <w:basedOn w:val="Normal"/>
    <w:link w:val="FooterChar"/>
    <w:uiPriority w:val="99"/>
    <w:unhideWhenUsed/>
    <w:rsid w:val="004F6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1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8DF79A7FEAEC4C96E136867DB4E354" ma:contentTypeVersion="16" ma:contentTypeDescription="Create a new document." ma:contentTypeScope="" ma:versionID="b763876e142349bfdca5b2ed4d9d16c8">
  <xsd:schema xmlns:xsd="http://www.w3.org/2001/XMLSchema" xmlns:xs="http://www.w3.org/2001/XMLSchema" xmlns:p="http://schemas.microsoft.com/office/2006/metadata/properties" xmlns:ns1="http://schemas.microsoft.com/sharepoint/v3" xmlns:ns2="5d416568-c844-4841-8fd5-359c25164097" xmlns:ns3="7c214a24-011e-4db2-9224-45738babe0f8" targetNamespace="http://schemas.microsoft.com/office/2006/metadata/properties" ma:root="true" ma:fieldsID="158dfa1dc65caf69ff1d70b6711dbf43" ns1:_="" ns2:_="" ns3:_="">
    <xsd:import namespace="http://schemas.microsoft.com/sharepoint/v3"/>
    <xsd:import namespace="5d416568-c844-4841-8fd5-359c25164097"/>
    <xsd:import namespace="7c214a24-011e-4db2-9224-45738babe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16568-c844-4841-8fd5-359c25164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14a24-011e-4db2-9224-45738babe0f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cf3103-e423-47f8-927c-ee101a9558ca}" ma:internalName="TaxCatchAll" ma:showField="CatchAllData" ma:web="7c214a24-011e-4db2-9224-45738babe0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A4F17F-C9EF-4AC1-B6D8-2B4C3F0A7F3C}">
  <ds:schemaRefs>
    <ds:schemaRef ds:uri="http://schemas.openxmlformats.org/officeDocument/2006/bibliography"/>
  </ds:schemaRefs>
</ds:datastoreItem>
</file>

<file path=customXml/itemProps2.xml><?xml version="1.0" encoding="utf-8"?>
<ds:datastoreItem xmlns:ds="http://schemas.openxmlformats.org/officeDocument/2006/customXml" ds:itemID="{C8B50D61-AC14-44AF-BAD7-CDC8A3DA4FB4}"/>
</file>

<file path=customXml/itemProps3.xml><?xml version="1.0" encoding="utf-8"?>
<ds:datastoreItem xmlns:ds="http://schemas.openxmlformats.org/officeDocument/2006/customXml" ds:itemID="{E2687AE0-7C8E-4DD6-B428-44FB9236263B}"/>
</file>

<file path=docProps/app.xml><?xml version="1.0" encoding="utf-8"?>
<Properties xmlns="http://schemas.openxmlformats.org/officeDocument/2006/extended-properties" xmlns:vt="http://schemas.openxmlformats.org/officeDocument/2006/docPropsVTypes">
  <Template>Normal</Template>
  <TotalTime>17</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warnesk</dc:creator>
  <cp:keywords/>
  <dc:description/>
  <cp:lastModifiedBy>LARTER, Rachel (NHS NORFOLK AND WAVENEY ICB - 26A)</cp:lastModifiedBy>
  <cp:revision>11</cp:revision>
  <dcterms:created xsi:type="dcterms:W3CDTF">2022-07-05T11:16:00Z</dcterms:created>
  <dcterms:modified xsi:type="dcterms:W3CDTF">2023-11-15T09:03:00Z</dcterms:modified>
</cp:coreProperties>
</file>